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40" w:lineRule="auto"/>
        <w:rPr>
          <w:b w:val="1"/>
          <w:i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Se añade Sevilla a las ya existentes en Cádiz, Manresa, Ciudad Real y Albacete</w:t>
      </w:r>
    </w:p>
    <w:p w:rsidR="00000000" w:rsidDel="00000000" w:rsidP="00000000" w:rsidRDefault="00000000" w:rsidRPr="00000000" w14:paraId="00000002">
      <w:pPr>
        <w:spacing w:after="200" w:line="240" w:lineRule="auto"/>
        <w:jc w:val="center"/>
        <w:rPr>
          <w:b w:val="1"/>
          <w:sz w:val="60"/>
          <w:szCs w:val="60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sz w:val="60"/>
          <w:szCs w:val="60"/>
          <w:rtl w:val="0"/>
        </w:rPr>
        <w:t xml:space="preserve">Gana Energía continúa su expansión con la apertura de nuevas tiendas físicas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360" w:right="0" w:hanging="36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b w:val="1"/>
          <w:rtl w:val="0"/>
        </w:rPr>
        <w:t xml:space="preserve">Con un total de cinco</w:t>
      </w:r>
      <w:r w:rsidDel="00000000" w:rsidR="00000000" w:rsidRPr="00000000">
        <w:rPr>
          <w:b w:val="1"/>
          <w:rtl w:val="0"/>
        </w:rPr>
        <w:t xml:space="preserve"> tiendas físicas y más de 300 establecimientos colaboradores, la comercializadora busca potenciar su conexión con el cliente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right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jc w:val="both"/>
        <w:rPr/>
      </w:pPr>
      <w:r w:rsidDel="00000000" w:rsidR="00000000" w:rsidRPr="00000000">
        <w:rPr>
          <w:b w:val="1"/>
          <w:rtl w:val="0"/>
        </w:rPr>
        <w:t xml:space="preserve">Madrid, 11  de septiembre de 2024.-</w:t>
      </w:r>
      <w:r w:rsidDel="00000000" w:rsidR="00000000" w:rsidRPr="00000000">
        <w:rPr>
          <w:rtl w:val="0"/>
        </w:rPr>
        <w:t xml:space="preserve"> Cádiz, Ciudad Real, Albacete, Manresa y ahora Sevilla.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jc w:val="both"/>
        <w:rPr/>
      </w:pPr>
      <w:r w:rsidDel="00000000" w:rsidR="00000000" w:rsidRPr="00000000">
        <w:rPr>
          <w:rtl w:val="0"/>
        </w:rPr>
        <w:t xml:space="preserve">Estas son las ciudades en las que </w:t>
      </w:r>
      <w:hyperlink r:id="rId7">
        <w:r w:rsidDel="00000000" w:rsidR="00000000" w:rsidRPr="00000000">
          <w:rPr>
            <w:color w:val="0563c1"/>
            <w:u w:val="single"/>
            <w:rtl w:val="0"/>
          </w:rPr>
          <w:t xml:space="preserve">Gana Energía</w:t>
        </w:r>
      </w:hyperlink>
      <w:r w:rsidDel="00000000" w:rsidR="00000000" w:rsidRPr="00000000">
        <w:rPr>
          <w:rtl w:val="0"/>
        </w:rPr>
        <w:t xml:space="preserve">, compañía de luz y gas natural, ha apostado por la apertura de sus primeras tiendas exclusivas en su estrategia por alcanzar el millón de clientes. 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jc w:val="both"/>
        <w:rPr/>
      </w:pPr>
      <w:r w:rsidDel="00000000" w:rsidR="00000000" w:rsidRPr="00000000">
        <w:rPr>
          <w:rtl w:val="0"/>
        </w:rPr>
        <w:t xml:space="preserve">En tan solo cinco meses, la compañía ha abierto un total de cinco establecimientos en distintas ciudades españolas. Así, se consolida en el sector energético </w:t>
      </w:r>
      <w:r w:rsidDel="00000000" w:rsidR="00000000" w:rsidRPr="00000000">
        <w:rPr>
          <w:rtl w:val="0"/>
        </w:rPr>
        <w:t xml:space="preserve">compaginando</w:t>
      </w:r>
      <w:r w:rsidDel="00000000" w:rsidR="00000000" w:rsidRPr="00000000">
        <w:rPr>
          <w:rtl w:val="0"/>
        </w:rPr>
        <w:t xml:space="preserve"> el entorno exclusivamente online, uno de sus objetivos a nivel empresarial. </w:t>
      </w:r>
    </w:p>
    <w:p w:rsidR="00000000" w:rsidDel="00000000" w:rsidP="00000000" w:rsidRDefault="00000000" w:rsidRPr="00000000" w14:paraId="00000009">
      <w:pPr>
        <w:spacing w:after="240" w:before="240" w:line="276" w:lineRule="auto"/>
        <w:jc w:val="both"/>
        <w:rPr/>
      </w:pPr>
      <w:r w:rsidDel="00000000" w:rsidR="00000000" w:rsidRPr="00000000">
        <w:rPr>
          <w:b w:val="1"/>
          <w:rtl w:val="0"/>
        </w:rPr>
        <w:t xml:space="preserve">Cambio de estrategia: diversificación para estar más cerca del cliente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La comercializadora nació con un concepto exclusivamente </w:t>
      </w:r>
      <w:r w:rsidDel="00000000" w:rsidR="00000000" w:rsidRPr="00000000">
        <w:rPr>
          <w:i w:val="1"/>
          <w:rtl w:val="0"/>
        </w:rPr>
        <w:t xml:space="preserve">online</w:t>
      </w:r>
      <w:r w:rsidDel="00000000" w:rsidR="00000000" w:rsidRPr="00000000">
        <w:rPr>
          <w:rtl w:val="0"/>
        </w:rPr>
        <w:t xml:space="preserve">, pero en 2024 ha comenzado a diversificar también hacia el formato</w:t>
      </w:r>
      <w:r w:rsidDel="00000000" w:rsidR="00000000" w:rsidRPr="00000000">
        <w:rPr>
          <w:i w:val="1"/>
          <w:rtl w:val="0"/>
        </w:rPr>
        <w:t xml:space="preserve"> offline</w:t>
      </w:r>
      <w:r w:rsidDel="00000000" w:rsidR="00000000" w:rsidRPr="00000000">
        <w:rPr>
          <w:rtl w:val="0"/>
        </w:rPr>
        <w:t xml:space="preserve">. Además de estas cinco tiendas exclusivas, la compañía cuenta ya con otros más de 300 “Puntos Gana”, comercios colaboradores que ofrecen sus productos de manera exclusiva o como complemento a su actividad principal. </w:t>
      </w:r>
    </w:p>
    <w:p w:rsidR="00000000" w:rsidDel="00000000" w:rsidP="00000000" w:rsidRDefault="00000000" w:rsidRPr="00000000" w14:paraId="0000000B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Con la implementación de este nuevo formato, la empresa valenciana refuerza su apuesta en el sector energético, como parte de su objetivo de alcanzar un millón de clientes de luz y gas. Gana Energía ha seleccionado cuidadosamente estas ciudades como puntos estratégicos para consolidarse como una compañía sólida en el sector energético.</w:t>
      </w:r>
    </w:p>
    <w:p w:rsidR="00000000" w:rsidDel="00000000" w:rsidP="00000000" w:rsidRDefault="00000000" w:rsidRPr="00000000" w14:paraId="0000000C">
      <w:pPr>
        <w:spacing w:after="240" w:before="240" w:line="276" w:lineRule="auto"/>
        <w:jc w:val="both"/>
        <w:rPr/>
      </w:pPr>
      <w:r w:rsidDel="00000000" w:rsidR="00000000" w:rsidRPr="00000000">
        <w:rPr>
          <w:i w:val="1"/>
          <w:rtl w:val="0"/>
        </w:rPr>
        <w:t xml:space="preserve">“Las tiendas cumplen una doble función: por una parte, seguir ofreciendo un servicio cercano al que ya es cliente y, por otro,  conseguir que más personas puedan descubrirnos. Trascender lo digital nos permite fortalecer la presencia y escribir nuestro nombre en un sector que hasta hace poco estaba muy establecido e inmóvil, aportando esa cercanía con los clientes que nos define</w:t>
      </w:r>
      <w:r w:rsidDel="00000000" w:rsidR="00000000" w:rsidRPr="00000000">
        <w:rPr>
          <w:rtl w:val="0"/>
        </w:rPr>
        <w:t xml:space="preserve">”, comenta Antonio Picazo, cofundador y CEO de la compañía.</w:t>
      </w:r>
    </w:p>
    <w:p w:rsidR="00000000" w:rsidDel="00000000" w:rsidP="00000000" w:rsidRDefault="00000000" w:rsidRPr="00000000" w14:paraId="0000000D">
      <w:pPr>
        <w:spacing w:after="240" w:before="240" w:line="276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Refuerzo  en la relación con el cliente</w:t>
      </w:r>
    </w:p>
    <w:p w:rsidR="00000000" w:rsidDel="00000000" w:rsidP="00000000" w:rsidRDefault="00000000" w:rsidRPr="00000000" w14:paraId="0000000E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Basada en la cercanía y la confianza, Gana Energía quiere potenciar su conexión con el cliente a través de los nuevos establecimientos. Por ello, se ha decidido seguir invirtiendo en la apertura de más tiendas en diferentes zonas, apoyándose en su red de colaboradores.</w:t>
      </w:r>
    </w:p>
    <w:p w:rsidR="00000000" w:rsidDel="00000000" w:rsidP="00000000" w:rsidRDefault="00000000" w:rsidRPr="00000000" w14:paraId="0000000F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ind w:right="-291"/>
        <w:jc w:val="both"/>
        <w:rPr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ind w:right="-291"/>
        <w:jc w:val="both"/>
        <w:rPr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Sobre Gana Energía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ind w:right="-291"/>
        <w:jc w:val="both"/>
        <w:rPr>
          <w:sz w:val="20"/>
          <w:szCs w:val="20"/>
        </w:rPr>
      </w:pPr>
      <w:hyperlink r:id="rId8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Gana Energía</w:t>
        </w:r>
      </w:hyperlink>
      <w:r w:rsidDel="00000000" w:rsidR="00000000" w:rsidRPr="00000000">
        <w:rPr>
          <w:sz w:val="20"/>
          <w:szCs w:val="20"/>
          <w:rtl w:val="0"/>
        </w:rPr>
        <w:t xml:space="preserve"> es una comercializadora de luz y gas natural que opera en España peninsular y Baleares. Fue fundada en 2015 con el objetivo de presentar una alternativa en el sector energético, ofreciendo precios ajustados y poniendo el foco en el ahorro y la tranquilidad del cliente. </w:t>
      </w:r>
    </w:p>
    <w:p w:rsidR="00000000" w:rsidDel="00000000" w:rsidP="00000000" w:rsidRDefault="00000000" w:rsidRPr="00000000" w14:paraId="00000013">
      <w:pPr>
        <w:spacing w:after="0" w:line="240" w:lineRule="auto"/>
        <w:ind w:right="-291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ind w:right="-291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Su apuesta por “el ahorro sin líos” se materializa a través de una oferta de tarifas de luz y gas simplificadas que eliminan costes extra de las facturas y renovaciones de precio. Una sencillez que se traslada también en sus gestiones y servicio de Atención al Cliente: desde su app o a través del teléfono, donde el cliente siempre encuentra un asesor energético dispuesto a ayudarle. </w:t>
      </w:r>
    </w:p>
    <w:p w:rsidR="00000000" w:rsidDel="00000000" w:rsidP="00000000" w:rsidRDefault="00000000" w:rsidRPr="00000000" w14:paraId="00000015">
      <w:pPr>
        <w:spacing w:after="0" w:line="240" w:lineRule="auto"/>
        <w:ind w:right="-291"/>
        <w:jc w:val="both"/>
        <w:rPr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ind w:right="-291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b w:val="1"/>
          <w:i w:val="1"/>
          <w:sz w:val="20"/>
          <w:szCs w:val="20"/>
          <w:u w:val="single"/>
          <w:rtl w:val="0"/>
        </w:rPr>
        <w:t xml:space="preserve">Para más información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Actitud de Comunicación</w:t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Irati Miguel: </w:t>
      </w:r>
      <w:hyperlink r:id="rId9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irati.miguel@actitud.es</w:t>
        </w:r>
      </w:hyperlink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Teléfono: 913 02 28 60</w:t>
      </w:r>
    </w:p>
    <w:p w:rsidR="00000000" w:rsidDel="00000000" w:rsidP="00000000" w:rsidRDefault="00000000" w:rsidRPr="00000000" w14:paraId="0000001B">
      <w:pPr>
        <w:spacing w:after="0" w:lineRule="auto"/>
        <w:ind w:left="141.99999999999994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  <w:sz w:val="18"/>
          <w:szCs w:val="18"/>
          <w:u w:val="single"/>
        </w:rPr>
      </w:pPr>
      <w:hyperlink r:id="rId10">
        <w:r w:rsidDel="00000000" w:rsidR="00000000" w:rsidRPr="00000000">
          <w:rPr>
            <w:color w:val="0563c1"/>
            <w:sz w:val="20"/>
            <w:szCs w:val="20"/>
            <w:u w:val="single"/>
            <w:rtl w:val="0"/>
          </w:rPr>
          <w:t xml:space="preserve">www.ganaenergia.com</w:t>
        </w:r>
      </w:hyperlink>
      <w:r w:rsidDel="00000000" w:rsidR="00000000" w:rsidRPr="00000000">
        <w:rPr>
          <w:rtl w:val="0"/>
        </w:rPr>
      </w:r>
    </w:p>
    <w:sectPr>
      <w:headerReference r:id="rId11" w:type="default"/>
      <w:headerReference r:id="rId12" w:type="first"/>
      <w:headerReference r:id="rId13" w:type="even"/>
      <w:footerReference r:id="rId14" w:type="default"/>
      <w:footerReference r:id="rId15" w:type="first"/>
      <w:footerReference r:id="rId16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ambr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right"/>
      <w:rPr>
        <w:color w:val="000000"/>
      </w:rPr>
    </w:pPr>
    <w:r w:rsidDel="00000000" w:rsidR="00000000" w:rsidRPr="00000000">
      <w:rPr/>
      <w:drawing>
        <wp:inline distB="114300" distT="114300" distL="114300" distR="114300">
          <wp:extent cx="1554473" cy="436878"/>
          <wp:effectExtent b="0" l="0" r="0" t="0"/>
          <wp:docPr id="38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54473" cy="43687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9A0DBF"/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9A0DBF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9A0DBF"/>
  </w:style>
  <w:style w:type="paragraph" w:styleId="Piedepgina">
    <w:name w:val="footer"/>
    <w:basedOn w:val="Normal"/>
    <w:link w:val="PiedepginaCar"/>
    <w:uiPriority w:val="99"/>
    <w:unhideWhenUsed w:val="1"/>
    <w:rsid w:val="009A0DBF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9A0DBF"/>
  </w:style>
  <w:style w:type="paragraph" w:styleId="Prrafodelista">
    <w:name w:val="List Paragraph"/>
    <w:basedOn w:val="Normal"/>
    <w:uiPriority w:val="34"/>
    <w:qFormat w:val="1"/>
    <w:rsid w:val="009A0DBF"/>
    <w:pPr>
      <w:ind w:left="720"/>
      <w:contextualSpacing w:val="1"/>
    </w:pPr>
  </w:style>
  <w:style w:type="table" w:styleId="Tablaconcuadrcula1" w:customStyle="1">
    <w:name w:val="Tabla con cuadrícula1"/>
    <w:basedOn w:val="Tablanormal"/>
    <w:next w:val="Tablaconcuadrcula"/>
    <w:uiPriority w:val="59"/>
    <w:rsid w:val="00927FE5"/>
    <w:pPr>
      <w:spacing w:after="0" w:line="240" w:lineRule="auto"/>
    </w:pPr>
    <w:rPr>
      <w:rFonts w:eastAsia="Times New Roman"/>
      <w:lang w:eastAsia="es-MX" w:val="es-MX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aconcuadrcula">
    <w:name w:val="Table Grid"/>
    <w:basedOn w:val="Tablanormal"/>
    <w:uiPriority w:val="39"/>
    <w:rsid w:val="00927FE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inespaciado">
    <w:name w:val="No Spacing"/>
    <w:uiPriority w:val="1"/>
    <w:qFormat w:val="1"/>
    <w:rsid w:val="00D000A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D000A3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D000A3"/>
    <w:rPr>
      <w:rFonts w:ascii="Tahoma" w:cs="Tahoma" w:hAnsi="Tahoma"/>
      <w:sz w:val="16"/>
      <w:szCs w:val="16"/>
    </w:rPr>
  </w:style>
  <w:style w:type="character" w:styleId="Hipervnculo">
    <w:name w:val="Hyperlink"/>
    <w:basedOn w:val="Fuentedeprrafopredeter"/>
    <w:uiPriority w:val="99"/>
    <w:unhideWhenUsed w:val="1"/>
    <w:rsid w:val="008D49A8"/>
    <w:rPr>
      <w:color w:val="0563c1" w:themeColor="hyperlink"/>
      <w:u w:val="single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character" w:styleId="UnresolvedMention" w:customStyle="1">
    <w:name w:val="Unresolved Mention"/>
    <w:basedOn w:val="Fuentedeprrafopredeter"/>
    <w:uiPriority w:val="99"/>
    <w:semiHidden w:val="1"/>
    <w:unhideWhenUsed w:val="1"/>
    <w:rsid w:val="00577816"/>
    <w:rPr>
      <w:color w:val="605e5c"/>
      <w:shd w:color="auto" w:fill="e1dfdd" w:val="clear"/>
    </w:rPr>
  </w:style>
  <w:style w:type="table" w:styleId="a0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yperlink" Target="http://www.ganaenergia.com" TargetMode="External"/><Relationship Id="rId13" Type="http://schemas.openxmlformats.org/officeDocument/2006/relationships/header" Target="header3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irati.miguel@actitud.es" TargetMode="External"/><Relationship Id="rId15" Type="http://schemas.openxmlformats.org/officeDocument/2006/relationships/footer" Target="footer2.xml"/><Relationship Id="rId14" Type="http://schemas.openxmlformats.org/officeDocument/2006/relationships/footer" Target="footer1.xml"/><Relationship Id="rId16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ganaenergia.com/" TargetMode="External"/><Relationship Id="rId8" Type="http://schemas.openxmlformats.org/officeDocument/2006/relationships/hyperlink" Target="http://www.ganaenergia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CKrIGcwa30L2PhFKVycVIfuy/g==">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2022-07-06T13:20:00Z</dcterms:created>
  <dc:creator>Cuenta Microsoft</dc:creator>
</cp:coreProperties>
</file>